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2127" w:hanging="2126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11: Inference for Distributions of Categorical Variables: Chi-Square Procedures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chi-square distribution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chi-square test for goodness of fit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components of chi-square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segmented bar chart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cell counts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chi-square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 x c table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expected count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sum (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observed count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m:oMath>
              <m:r>
                <m:t>χ</m:t>
              </m:r>
            </m:oMath>
            <w:r w:rsidRPr="00000000" w:rsidR="00000000" w:rsidDel="00000000">
              <w:rPr>
                <w:rFonts w:cs="Arial" w:hAnsi="Arial" w:eastAsia="Arial" w:ascii="Arial"/>
                <w:sz w:val="20"/>
                <w:vertAlign w:val="superscript"/>
                <w:rtl w:val="0"/>
              </w:rPr>
              <w:t xml:space="preserve">2</w:t>
            </w: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cdf (leftbound, rightbound, df)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degrees of 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m:oMath>
              <m:r>
                <m:t>χ</m:t>
              </m:r>
            </m:oMath>
            <w:r w:rsidRPr="00000000" w:rsidR="00000000" w:rsidDel="00000000">
              <w:rPr>
                <w:rFonts w:cs="Arial" w:hAnsi="Arial" w:eastAsia="Arial" w:ascii="Arial"/>
                <w:sz w:val="20"/>
                <w:vertAlign w:val="superscript"/>
                <w:rtl w:val="0"/>
              </w:rPr>
              <w:t xml:space="preserve">2</w:t>
            </w: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-Test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11.1</w:t>
        <w:tab/>
        <w:t xml:space="preserve">Chi-Squared Goodness of Fit Tests (pp.678-695)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 the term </w:t>
      </w:r>
      <w:r w:rsidRPr="00000000" w:rsidR="00000000" w:rsidDel="00000000">
        <w:rPr>
          <w:i w:val="1"/>
          <w:rtl w:val="0"/>
        </w:rPr>
        <w:t xml:space="preserve">expected count</w:t>
      </w:r>
      <w:r w:rsidRPr="00000000" w:rsidR="00000000" w:rsidDel="00000000">
        <w:rPr>
          <w:rtl w:val="0"/>
        </w:rPr>
        <w:t xml:space="preserve"> mean, and how is it calculated?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</w:t>
      </w:r>
      <w:r w:rsidRPr="00000000" w:rsidR="00000000" w:rsidDel="00000000">
        <w:rPr>
          <w:i w:val="1"/>
          <w:rtl w:val="0"/>
        </w:rPr>
        <w:t xml:space="preserve">chi-square statistic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Why do we divide by the expected counts in the χ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rtl w:val="0"/>
        </w:rPr>
        <w:t xml:space="preserve"> statistic?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681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Is the χ</w:t>
      </w:r>
      <w:r w:rsidRPr="00000000" w:rsidR="00000000" w:rsidDel="00000000">
        <w:rPr>
          <w:vertAlign w:val="superscript"/>
          <w:rtl w:val="0"/>
        </w:rPr>
        <w:t xml:space="preserve">2 </w:t>
      </w:r>
      <w:r w:rsidRPr="00000000" w:rsidR="00000000" w:rsidDel="00000000">
        <w:rPr>
          <w:rtl w:val="0"/>
        </w:rPr>
        <w:t xml:space="preserve">sampling distribution normal?  Describe its shape.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many degrees of freedom does the </w:t>
      </w:r>
      <w:r w:rsidRPr="00000000" w:rsidR="00000000" w:rsidDel="00000000">
        <w:rPr>
          <w:i w:val="1"/>
          <w:rtl w:val="0"/>
        </w:rPr>
        <w:t xml:space="preserve">chi-square distribution </w:t>
      </w:r>
      <w:r w:rsidRPr="00000000" w:rsidR="00000000" w:rsidDel="00000000">
        <w:rPr>
          <w:rtl w:val="0"/>
        </w:rPr>
        <w:t xml:space="preserve">have?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shape of a </w:t>
      </w:r>
      <w:r w:rsidRPr="00000000" w:rsidR="00000000" w:rsidDel="00000000">
        <w:rPr>
          <w:i w:val="1"/>
          <w:rtl w:val="0"/>
        </w:rPr>
        <w:t xml:space="preserve">chi-square distribution</w:t>
      </w:r>
      <w:r w:rsidRPr="00000000" w:rsidR="00000000" w:rsidDel="00000000">
        <w:rPr>
          <w:rtl w:val="0"/>
        </w:rPr>
        <w:t xml:space="preserve">?  What happens to the shape as the degrees of freedom increases? (Illustrate with a diagram)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 you find the p-value on the χ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rtl w:val="0"/>
        </w:rPr>
        <w:t xml:space="preserve"> table?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684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general form for the null hypotheses for a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χ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rtl w:val="0"/>
        </w:rPr>
        <w:t xml:space="preserve"> goodness of fit test.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general form for the alternative hypotheses for a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χ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rtl w:val="0"/>
        </w:rPr>
        <w:t xml:space="preserve"> goodness of fit test.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in order to use the </w:t>
      </w:r>
      <w:r w:rsidRPr="00000000" w:rsidR="00000000" w:rsidDel="00000000">
        <w:rPr>
          <w:i w:val="1"/>
          <w:rtl w:val="0"/>
        </w:rPr>
        <w:t xml:space="preserve">goodness of fit test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689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meant by a </w:t>
      </w:r>
      <w:r w:rsidRPr="00000000" w:rsidR="00000000" w:rsidDel="00000000">
        <w:rPr>
          <w:i w:val="1"/>
          <w:rtl w:val="0"/>
        </w:rPr>
        <w:t xml:space="preserve">component</w:t>
      </w:r>
      <w:r w:rsidRPr="00000000" w:rsidR="00000000" w:rsidDel="00000000">
        <w:rPr>
          <w:rtl w:val="0"/>
        </w:rPr>
        <w:t xml:space="preserve"> of chi-square?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Why is it necessary to perform follow-up analysis to a chi-square test?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11.2</w:t>
        <w:tab/>
        <w:t xml:space="preserve">Inference for Two-Way Tables (pp.696-731)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698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null and alternative hypotheses for comparing more than two population proportions.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 you calculate the expected count in any cell of a two-way table assuming the null hypothesis is true?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703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many degrees of freedom does a chi-square test for a two-way table with r rows and c columns have?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requirements must be checked before carrying out a Chi-square test?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705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Summarize how to carry out a Chi-square Test for Homogeneity of Populations: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708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follow-up analysis should be done with the Chi-square Test for Homogeneity?  What should you look for?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difference between the Chi-square Test for Homogeneity and a two sample test of proportions?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713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State the null and alternative hypotheses for a Chi-square test for Association/Independence.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Summarize how to carry out a Chi-square Test for Association/Independence: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718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difference between the Chi-square Test for Homogeneity and Association?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can we do if the expected counts are not all at least 5?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11: Inference for Distributions of Categorical Variables: Chi-Square Procedures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11.docx</dc:title>
</cp:coreProperties>
</file>